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For example, COBOL is still strong in corporate data centers often on large mainframe computers, Fortran in engineering applications, scripting languages in Web development, and C in embedded software.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Assembly languages were soon developed that let the programmer specify instruction in a text format (e.g., ADD X, TOTAL), with abbreviations for each operation code and meaningful names for specifying addresses.</w:t>
        <w:br/>
        <w:t>Assembly languages were soon developed that let the programmer specify instruction in a text format (e.g., ADD X, TOTAL), with abbreviations for each operation code and meaningful names for specifying addresses.</w:t>
        <w:br/>
        <w:t>However, with the concept of the stored-program computer introduced in 1949, both programs and data were stored and manipulated in the same way in computer memory.</w:t>
        <w:br/>
        <w:t>Assembly languages were soon developed that let the programmer specify instruction in a text format (e.g., ADD X, TOTAL), with abbreviations for each operation code and meaningful names for specifying addresses.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FORTRAN, the first widely used high-level language to have a functional implementation, came out in 1957, and many other languages were soon developed—in particular, COBOL aimed at commercial data processing, and Lisp for computer research.</w:t>
        <w:br/>
        <w:t>Integrated development environments (IDEs) aim to integrate all such help.</w:t>
        <w:br/>
        <w:t>To produce machine code, the source code must either be compiled or transpiled.</w:t>
        <w:br/>
        <w:t xml:space="preserve"> High-level languages made the process of developing a program simpler and more understandable, and less bound to the underlying hardware.</w:t>
        <w:br/>
        <w:t>Unreadable code often leads to bugs, inefficiencies, and duplicated code.</w:t>
        <w:br/>
        <w:t>He gave the first description of cryptanalysis by frequency analysis, the earliest code-breaking algorithm.</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