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By the late 1960s, data storage devices and computer terminals became inexpensive enough that programs could be created by typing directly into the computers.</w:t>
        <w:br/>
        <w:t>To produce machine code, the source code must either be compiled or transpiled.</w:t>
        <w:br/>
        <w:t>Many applications use a mix of several languages in their construction and use.</w:t>
        <w:br/>
        <w:t>However, with the concept of the stored-program computer introduced in 1949, both programs and data were stored and manipulated in the same way in computer memory.</w:t>
        <w:br/>
        <w:t>There are many approaches to the Software development process.</w:t>
        <w:br/>
        <w:t>There are many approaches to the Software development process.</w:t>
        <w:br/>
        <w:t>Scripting and breakpointing is also part of this process.</w:t>
        <w:br/>
        <w:t>The choice of language used is subject to many considerations, such as company policy, suitability to task, availability of third-party packages, or individual preference.</w:t>
        <w:br/>
        <w:t>In the 9th century, the Arab mathematician Al-Kindi described a cryptographic algorithm for deciphering encrypted code, in A Manuscript on Deciphering Cryptographic Messages.</w:t>
        <w:br/>
        <w:t>Techniques like Code refactoring can enhance readability.</w:t>
        <w:br/>
        <w:t>However, because an assembly language is little more than a different notation for a machine language,  two machines with different instruction sets also have different assembly languages.</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