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This is interpreted into machine code.</w:t>
        <w:br/>
        <w:t xml:space="preserve"> In the 1880s, Herman Hollerith invented the concept of storing data in machine-readable form.</w:t>
        <w:br/>
        <w:t>This is interpreted into machine code.</w:t>
        <w:br/>
        <w:t xml:space="preserve"> A similar technique used for database design is Entity-Relationship Modeling (ER Modeling).</w:t>
        <w:br/>
        <w:t xml:space="preserve"> Machine code was the language of early programs, written in the instruction set of the particular machine, often in binary notation.</w:t>
        <w:br/>
        <w:t xml:space="preserve"> The academic field and the engineering practice of computer programming are both largely concerned with discovering and implementing the most efficient algorithms for a given class of problems.</w:t>
        <w:br/>
        <w:t xml:space="preserve"> A similar technique used for database design is Entity-Relationship Modeling (ER Modeling).</w:t>
        <w:br/>
        <w:t xml:space="preserve"> The first computer program is generally dated to 1843, when mathematician Ada Lovelace published an algorithm to calculate a sequence of Bernoulli numbers, intended to be carried out by Charles Babbage's Analytical Engine.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