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study found that a few simple readability transformations made code shorter and drastically reduced the time to understand it.</w:t>
        <w:br/>
        <w:t>He gave the first description of cryptanalysis by frequency analysis, the earliest code-breaking algorithm.</w:t>
        <w:br/>
        <w:t>Ideally, the programming language best suited for the task at hand will be selected.</w:t>
        <w:br/>
        <w:t>Relatedly, software engineering combines engineering techniques and principles with software development.</w:t>
        <w:br/>
        <w:t>Compiling takes the source code from a low-level programming language and converts it into machine code.</w:t>
        <w:br/>
        <w:t>This can be a non-trivial task, for example as with parallel processes or some unusual software bugs.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He gave the first description of cryptanalysis by frequency analysis, the earliest code-breaking algorithm.</w:t>
        <w:br/>
        <w:t>Compilers harnessed the power of computers to make programming easier by allowing programmers to specify calculations by entering a formula using infix notation.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Unreadable code often leads to bugs, inefficiencies, and duplicated code.</w:t>
        <w:br/>
        <w:t>The choice of language used is subject to many considerations, such as company policy, suitability to task, availability of third-party packages, or individual preference.</w:t>
        <w:br/>
        <w:t>This is interpreted into machine code.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 xml:space="preserve"> Programs were mostly entered using punched cards or paper tape.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