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Trial-and-error/divide-and-conquer is needed: the programmer will try to remove some parts of the original test case and check if the problem still exists.</w:t>
        <w:br/>
        <w:t>This can be a non-trivial task, for example as with parallel processes or some unusual software bugs.</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The choice of language used is subject to many considerations, such as company policy, suitability to task, availability of third-party packages, or individual preference.</w:t>
        <w:br/>
        <w:t>To produce machine code, the source code must either be compiled or transpiled.</w:t>
        <w:br/>
        <w:t>Many programmers use forms of Agile software development where the various stages of formal software development are more integrated together into short cycles that take a few weeks rather than years.</w:t>
        <w:br/>
        <w:t>Normally the first step in debugging is to attempt to reproduce the problem.</w:t>
        <w:br/>
        <w:t>However, because an assembly language is little more than a different notation for a machine language,  two machines with different instruction sets also have different assembly languages.</w:t>
        <w:br/>
        <w:t>Provided the functions in a library follow the appropriate run-time conventions (e.g., method of passing arguments), then these functions may be written in any other language.</w:t>
        <w:br/>
        <w:t>In 1801, the Jacquard loom could produce entirely different weaves by changing the "program" – a series of pasteboard cards with holes punched in them.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