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Compilers harnessed the power of computers to make programming easier by allowing programmers to specify calculations by entering a formula using infix notation.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This is interpreted into machine code.</w:t>
        <w:br/>
        <w:t>However, Charles Babbage had already written his first program for the Analytical Engine in 1837.</w:t>
        <w:br/>
        <w:t>By the late 1960s, data storage devices and computer terminals became inexpensive enough that programs could be created by typing directly into the computers.</w:t>
        <w:br/>
        <w:t>Some text editors such as Emacs allow GDB to be invoked through them, to provide a visual environment.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Integrated development environments (IDEs) aim to integrate all such help.</w:t>
        <w:br/>
        <w:t>Trial-and-error/divide-and-conquer is needed: the programmer will try to remove some parts of the original test case and check if the problem still exists.</w:t>
        <w:br/>
        <w:t>This is interpreted into machine code.</w:t>
        <w:br/>
        <w:t>There are many approaches to the Software development process.</w:t>
        <w:br/>
        <w:t>The choice of language used is subject to many considerations, such as company policy, suitability to task, availability of third-party packages, or individual preference.</w:t>
        <w:br/>
        <w:br/>
        <w:t>The first compiler related tool, the A-0 System, was developed in 1952 by Grace Hopper, who also coined the term 'compiler'.</w:t>
        <w:br/>
        <w:t>A study found that a few simple readability transformations made code shorter and drastically reduced the time to understand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