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Normally the first step in debugging is to attempt to reproduce the problem.</w:t>
        <w:br/>
        <w:t>Many applications use a mix of several languages in their construction and use.</w:t>
        <w:br/>
        <w:t>Scripting and breakpointing is also part of this process.</w:t>
        <w:br/>
        <w:t>Compilers harnessed the power of computers to make programming easier by allowing programmers to specify calculations by entering a formula using infix notation.</w:t>
        <w:br/>
        <w:t>Many factors, having little or nothing to do with the ability of the computer to efficiently compile and execute the code, contribute to readability.</w:t>
        <w:br/>
        <w:t>Proficient programming thus usually requires expertise in several different subjects, including knowledge of the application domain, specialized algorithms, and formal logic.</w:t>
        <w:br/>
        <w:t>However, Charles Babbage had already written his first program for the Analytical Engine in 1837.</w:t>
        <w:br/>
        <w:t>There exist a lot of different approaches for each of those tasks.</w:t>
        <w:br/>
        <w:t>Expert programmers are familiar with a variety of well-established algorithms and their respective complexities and use this knowledge to choose algorithms that are best suited to the circumstances.</w:t>
        <w:br/>
        <w:t>Many applications use a mix of several languages in their construction and use.</w:t>
        <w:br/>
        <w:t>However, with the concept of the stored-program computer introduced in 1949, both programs and data were stored and manipulated in the same way in computer memory.</w:t>
        <w:br/>
        <w:t>The source code of a program is written in one or more languages that are intelligible to programmers, rather than machine code, which is directly executed by the central processing unit.</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