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This is interpreted into machine code.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because an assembly language is little more than a different notation for a machine language,  two machines with different instruction sets also have different assembly languages.</w:t>
        <w:br/>
        <w:t>This is interpreted into machine code.</w:t>
        <w:br/>
        <w:t>Normally the first step in debugging is to attempt to reproduce the problem.</w:t>
        <w:br/>
        <w:t>Integrated development environments (IDEs) aim to integrate all such help.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