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Unreadable code often leads to bugs, inefficiencies, and duplicated code.</w:t>
        <w:br/>
        <w:t>However, because an assembly language is little more than a different notation for a machine language,  two machines with different instruction sets also have different assembly languages.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Compilers harnessed the power of computers to make programming easier by allowing programmers to specify calculations by entering a formula using infix notation.</w:t>
        <w:br/>
        <w:t>Relatedly, software engineering combines engineering techniques and principles with software development.</w:t>
        <w:br/>
        <w:t>Transpiling on the other hand, takes the source-code from a high-level programming language and converts it into bytecode.</w:t>
        <w:br/>
        <w:t>Compilers harnessed the power of computers to make programming easier by allowing programmers to specify calculations by entering a formula using infix notation.</w:t>
        <w:br/>
        <w:t>Integrated development environments (IDEs) aim to integrate all such help.</w:t>
        <w:br/>
        <w:t>There are many approaches to the Software development process.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As early as the 9th century, a programmable music sequencer was invented by the Persian Banu Musa brothers, who described an automated mechanical flute player in the Book of Ingenious Devices.</w:t>
        <w:br/>
        <w:t>Use of a static code analysis tool can help detect some possible problems.</w:t>
        <w:br/>
        <w:t>In 1801, the Jacquard loom could produce entirely different weaves by changing the "program" – a series of pasteboard cards with holes punched in them.</w:t>
        <w:br/>
        <w:t xml:space="preserve"> Machine code was the language of early programs, written in the instruction set of the particular machine, often in binary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