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It affects the aspects of quality above, including portability, usability and most importantly maintainability.</w:t>
        <w:br/>
        <w:t>Use of a static code analysis tool can help detect some possible problems.</w:t>
        <w:br/>
        <w:t>The choice of language used is subject to many considerations, such as company policy, suitability to task, availability of third-party packages, or individual preference.</w:t>
        <w:br/>
        <w:t>Provided the functions in a library follow the appropriate run-time conventions (e.g., method of passing arguments), then these functions may be written in any other language.</w:t>
        <w:br/>
        <w:t>Proficient programming thus usually requires expertise in several different subjects, including knowledge of the application domain, specialized algorithms, and formal logic.</w:t>
        <w:br/>
        <w:t>This is interpreted into machine code.</w:t>
        <w:br/>
        <w:t>This is interpreted into machine code.</w:t>
        <w:br/>
        <w:t xml:space="preserve"> Machine code was the language of early programs, written in the instruction set of the particular machine, often in binary notation.</w:t>
        <w:br/>
        <w:t>Expert programmers are familiar with a variety of well-established algorithms and their respective complexities and use this knowledge to choose algorithms that are best suited to the circumstances.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Transpiling on the other hand, takes the source-code from a high-level programming language and converts it into bytecode.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It is very difficult to determine what are the most popular modern programming languages.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