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FORTRAN, the first widely used high-level language to have a functional implementation, came out in 1957, and many other languages were soon developed—in particular, COBOL aimed at commercial data processing, and Lisp for computer research.</w:t>
        <w:br/>
        <w:t>Many applications use a mix of several languages in their construction and use.</w:t>
        <w:br/>
        <w:t>By the late 1960s, data storage devices and computer terminals became inexpensive enough that programs could be created by typing directly into the computers.</w:t>
        <w:br/>
        <w:t>This is interpreted into machine code.</w:t>
        <w:br/>
        <w:t>The following properties are among the most important:</w:t>
        <w:br/>
        <w:br/>
        <w:t xml:space="preserve"> In computer programming, readability refers to the ease with which a human reader can comprehend the purpose, control flow, and operation of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Ideally, the programming language best suited for the task at hand will be selected.</w:t>
        <w:br/>
        <w:t>The purpose of programming is to find a sequence of instructions that will automate the performance of a task (which can be as complex as an operating system) on a computer, often for solving a given problem.</w:t>
        <w:br/>
        <w:t xml:space="preserve"> Various visual programming languages have also been developed with the intent to resolve readability concerns by adopting non-traditional approaches to code structure and display.</w:t>
        <w:br/>
        <w:t>There are many approaches to the Software development process.</w:t>
        <w:br/>
        <w:t>One approach popular for requirements analysis is Use Case analysis.</w:t>
        <w:br/>
        <w:t>Ideally, the programming language best suited for the task at hand will be selected.</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