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As early as the 9th century, a programmable music sequencer was invented by the Persian Banu Musa brothers, who described an automated mechanical flute player in the Book of Ingenious Devices.</w:t>
        <w:br/>
        <w:t>Trial-and-error/divide-and-conquer is needed: the programmer will try to remove some parts of the original test case and check if the problem still exists.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Normally the first step in debugging is to attempt to reproduce the problem.</w:t>
        <w:br/>
        <w:t>For this purpose, algorithms are classified into orders using so-called Big O notation, which expresses resource use, such as execution time or memory consumption, in terms of the size of an input.</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because an assembly language is little more than a different notation for a machine language,  two machines with different instruction sets also have different assembly languages.</w:t>
        <w:br/>
        <w:t>For example, COBOL is still strong in corporate data centers often on large mainframe computers, Fortran in engineering applications, scripting languages in Web development, and C in embedded software.</w:t>
        <w:br/>
        <w:t>The following properties are among the most important:</w:t>
        <w:br/>
        <w:br/>
        <w:t xml:space="preserve"> In computer programming, readability refers to the ease with which a human reader can comprehend the purpose, control flow, and operation of source code.</w:t>
        <w:br/>
        <w:t xml:space="preserve"> Code-breaking algorithms have also existed for centuries.</w:t>
        <w:br/>
        <w:t>Assembly languages were soon developed that let the programmer specify instruction in a text format (e.g., ADD X, TOTAL), with abbreviations for each operation code and meaningful names for specifying addresses.</w:t>
        <w:br/>
        <w:t>However, because an assembly language is little more than a different notation for a machine language,  two machines with different instruction sets also have different assembly languages.</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