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Compilers harnessed the power of computers to make programming easier by allowing programmers to specify calculations by entering a formula using infix notation.</w:t>
        <w:br/>
        <w:t>Scripting and breakpointing is also part of this process.</w:t>
        <w:br/>
        <w:t>Also, specific user environment and usage history can make it difficult to reproduce the problem.</w:t>
        <w:br/>
        <w:t>Transpiling on the other hand, takes the source-code from a high-level programming language and converts it into bytecode.</w:t>
        <w:br/>
        <w:t>Use of a static code analysis tool can help detect some possible problems.</w:t>
        <w:br/>
        <w:t>Some text editors such as Emacs allow GDB to be invoked through them, to provide a visual environment.</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