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This is interpreted into machine code.</w:t>
        <w:br/>
        <w:t>A study found that a few simple readability transformations made code shorter and drastically reduced the time to understand it.</w:t>
        <w:br/>
        <w:t>The Unified Modeling Language (UML) is a notation used for both the OOAD and MDA.</w:t>
        <w:br/>
        <w:t>Trial-and-error/divide-and-conquer is needed: the programmer will try to remove some parts of the original test case and check if the problem still exists.</w:t>
        <w:br/>
        <w:t>It is usually easier to code in "high-level" languages than in "low-level" ones.</w:t>
        <w:br/>
        <w:t>However, because an assembly language is little more than a different notation for a machine language,  two machines with different instruction sets also have different assembly languages.</w:t>
        <w:br/>
        <w:t>The purpose of programming is to find a sequence of instructions that will automate the performance of a task (which can be as complex as an operating system) on a computer, often for solving a given problem.</w:t>
        <w:br/>
        <w:t>Normally the first step in debugging is to attempt to reproduce the problem.</w:t>
        <w:br/>
        <w:t>For example, COBOL is still strong in corporate data centers often on large mainframe computers, Fortran in engineering applications, scripting languages in Web development, and C in embedded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The academic field and the engineering practice of computer programming are both largely concerned with discovering and implementing the most efficient algorithms for a given class of problems.</w:t>
        <w:br/>
        <w:t xml:space="preserve"> Programs were mostly entered using punched cards or paper tape.</w:t>
        <w:br/>
        <w:t>For this purpose, algorithms are classified into orders using so-called Big O notation, which expresses resource use, such as execution time or memory consumption, in terms of the size of an input.</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