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They are the building blocks for all software, from the simplest applications to the most sophisticated ones.</w:t>
        <w:br/>
        <w:t>Transpiling on the other hand, takes the source-code from a high-level programming language and converts it into bytecode.</w:t>
        <w:br/>
        <w:t>Many programmers use forms of Agile software development where the various stages of formal software development are more integrated together into short cycles that take a few weeks rather than years.</w:t>
        <w:br/>
        <w:t>Compiling takes the source code from a low-level programming language and converts it into machine code.</w:t>
        <w:br/>
        <w:t>It affects the aspects of quality above, including portability, usability and most importantly maintainability.</w:t>
        <w:br/>
        <w:t>One approach popular for requirements analysis is Use Case analysis.</w:t>
        <w:br/>
        <w:t>For example, COBOL is still strong in corporate data centers often on large mainframe computers, Fortran in engineering applications, scripting languages in Web development, and C in embedded software.</w:t>
        <w:br/>
        <w:t>Many factors, having little or nothing to do with the ability of the computer to efficiently compile and execute the code, contribute to readability.</w:t>
        <w:br/>
        <w:t>In the 9th century, the Arab mathematician Al-Kindi described a cryptographic algorithm for deciphering encrypted code, in A Manuscript on Deciphering Cryptographic Messages.</w:t>
        <w:br/>
        <w:t xml:space="preserve"> Following a consistent programming style often helps readability.</w:t>
        <w:br/>
        <w:t xml:space="preserve"> A similar technique used for database design is Entity-Relationship Modeling (ER Modeling).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