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When debugging the problem in a GUI, the programmer can try to skip some user interaction from the original problem description and check if remaining actions are sufficient for bugs to appear.</w:t>
        <w:br/>
        <w:t>It affects the aspects of quality above, including portability, usability and most importantly maintainability.</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Programming involves tasks such as analysis, generating algorithms, profiling algorithms' accuracy and resource consumption, and the implementation of algorithms (usually in a particular programming language, commonly referred to as coding).</w:t>
        <w:br/>
        <w:t>Provided the functions in a library follow the appropriate run-time conventions (e.g., method of passing arguments), then these functions may be written in any other language.</w:t>
        <w:br/>
        <w:t>Languages form an approximate spectrum from "low-level" to "high-level"; "low-level" languages are typically more machine-oriented and faster to execute, whereas "high-level" languages are more abstract and easier to use but execute less quickly.</w:t>
        <w:br/>
        <w:t xml:space="preserve"> Programs were mostly entered using punched cards or paper tape.</w:t>
        <w:br/>
        <w:t>Ideally, the programming language best suited for the task at hand will be selected.</w:t>
        <w:br/>
        <w:t>In 1801, the Jacquard loom could produce entirely different weaves by changing the "program" – a series of pasteboard cards with holes punched in them.</w:t>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