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Expert programmers are familiar with a variety of well-established algorithms and their respective complexities and use this knowledge to choose algorithms that are best suited to the circumstances.</w:t>
        <w:br/>
        <w:t>However, because an assembly language is little more than a different notation for a machine language,  two machines with different instruction sets also have different assembly languages.</w:t>
        <w:br/>
        <w:t>He gave the first description of cryptanalysis by frequency analysis, the earliest code-breaking algorithm.</w:t>
        <w:br/>
        <w:t>To produce machine code, the source code must either be compiled or transpiled.</w:t>
        <w:br/>
        <w:t>To produce machine code, the source code must either be compiled or transpiled.</w:t>
        <w:br/>
        <w:t>Ideally, the programming language best suited for the task at hand will be selected.</w:t>
        <w:br/>
        <w:t>They are the building blocks for all software, from the simplest applications to the most sophisticated ones.</w:t>
        <w:br/>
        <w:t>Some text editors such as Emacs allow GDB to be invoked through them, to provide a visual environment.</w:t>
        <w:br/>
        <w:t>Compilers harnessed the power of computers to make programming easier by allowing programmers to specify calculations by entering a formula using infix notation.</w:t>
        <w:br/>
        <w:t xml:space="preserve"> Debugging is a very important task in the software development process since having defects in a program can have significant consequences for its users.</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