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Normally the first step in debugging is to attempt to reproduce the problem.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However, Charles Babbage had already written his first program for the Analytical Engine in 1837.</w:t>
        <w:br/>
        <w:t>Ideally, the programming language best suited for the task at hand will be selected.</w:t>
        <w:br/>
        <w:t>They are the building blocks for all software, from the simplest applications to the most sophisticated ones.</w:t>
        <w:br/>
        <w:t>It affects the aspects of quality above, including portability, usability and most importantly maintainability.</w:t>
        <w:br/>
        <w:t>The source code of a program is written in one or more languages that are intelligible to programmers, rather than machine code, which is directly executed by the central processing unit.</w:t>
        <w:br/>
        <w:t>It is usually easier to code in "high-level" languages than in "low-level" ones.</w:t>
        <w:br/>
        <w:t xml:space="preserve"> Whatever the approach to development may be, the final program must satisfy some fundamental properties.</w:t>
        <w:br/>
        <w:t>Techniques like Code refactoring can enhance readability.</w:t>
        <w:br/>
        <w:t>For this purpose, algorithms are classified into orders using so-called Big O notation, which expresses resource use, such as execution time or memory consumption, in terms of the size of an input.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 xml:space="preserve"> Various visual programming languages have also been developed with the intent to resolve readability concerns by adopting non-traditional approaches to code structure and display.</w:t>
        <w:br/>
        <w:t xml:space="preserve"> After the bug is reproduced, the input of the program may need to be simplified to make it easier to debug.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