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Assembly languages were soon developed that let the programmer specify instruction in a text format (e.g., ADD X, TOTAL), with abbreviations for each operation code and meaningful names for specifying addresses.</w:t>
        <w:br/>
        <w:t>Compiling takes the source code from a low-level programming language and converts it into machine code.</w:t>
        <w:br/>
        <w:t>A study found that a few simple readability transformations made code shorter and drastically reduced the time to understand 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For this purpose, algorithms are classified into orders using so-called Big O notation, which expresses resource use, such as execution time or memory consumption, in terms of the size of an input.</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Allen Downey, in his book How To Think Like A Computer Scientist, writes:</w:t>
        <w:br/>
        <w:t xml:space="preserve"> Many computer languages provide a mechanism to call functions provided by shared libraries.</w:t>
        <w:br/>
        <w:t>The source code of a program is written in one or more languages that are intelligible to programmers, rather than machine code, which is directly executed by the central processing unit.</w:t>
        <w:br/>
        <w:t>Proficient programming thus usually requires expertise in several different subjects, including knowledge of the application domain, specialized algorithms, and formal logic.</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