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Some text editors such as Emacs allow GDB to be invoked through them, to provide a visual environment.</w:t>
        <w:br/>
        <w:t>Proficient programming thus usually requires expertise in several different subjects, including knowledge of the application domain, specialized algorithms, and formal logic.</w:t>
        <w:br/>
        <w:t>The source code of a program is written in one or more languages that are intelligible to programmers, rather than machine code, which is directly executed by the central processing unit.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He gave the first description of cryptanalysis by frequency analysis, the earliest code-breaking algorithm.</w:t>
        <w:br/>
        <w:t>For example, COBOL is still strong in corporate data centers often on large mainframe computers, Fortran in engineering applications, scripting languages in Web development, and C in embedded software.</w:t>
        <w:br/>
        <w:t>Ideally, the programming language best suited for the task at hand will be selected.</w:t>
        <w:br/>
        <w:t>However, with the concept of the stored-program computer introduced in 1949, both programs and data were stored and manipulated in the same way in computer memory.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He gave the first description of cryptanalysis by frequency analysis, the earliest code-breaking algorithm.</w:t>
        <w:br/>
        <w:t>Relatedly, software engineering combines engineering techniques and principles with software development.</w:t>
        <w:br/>
        <w:t xml:space="preserve"> Debugging is often done with IDEs. Standalone debuggers like GDB are also used, and these often provide less of a visual environment, usually using a command line.</w:t>
        <w:br/>
        <w:t xml:space="preserve"> In the 1880s, Herman Hollerith invented the concept of storing data in machine-readable form.</w:t>
        <w:br/>
        <w:t>Relatedly, software engineering combines engineering techniques and principles with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