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readability is more than just programming style.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Expert programmers are familiar with a variety of well-established algorithms and their respective complexities and use this knowledge to choose algorithms that are best suited to the circumstances.</w:t>
        <w:br/>
        <w:t>Compiling takes the source code from a low-level programming language and converts it into machine code.</w:t>
        <w:br/>
        <w:t>In 1206, the Arab engineer Al-Jazari invented a programmable drum machine where a musical mechanical automaton could be made to play different rhythms and drum patterns, via pegs and cams.</w:t>
        <w:br/>
        <w:t>One approach popular for requirements analysis is Use Case analysis.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Many applications use a mix of several languages in their construction and use.</w:t>
        <w:br/>
        <w:t>For this purpose, algorithms are classified into orders using so-called Big O notation, which expresses resource use, such as execution time or memory consumption, in terms of the size of an input.</w:t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  <w:br/>
        <w:t>As early as the 9th century, a programmable music sequencer was invented by the Persian Banu Musa brothers, who described an automated mechanical flute player in the Book of Ingenious Devices.</w:t>
        <w:br/>
        <w:t>Provided the functions in a library follow the appropriate run-time conventions (e.g., method of passing arguments), then these functions may be written in any other language.</w:t>
        <w:br/>
        <w:t>In the 9th century, the Arab mathematician Al-Kindi described a cryptographic algorithm for deciphering encrypted code, in A Manuscript on Deciphering Cryptographic Messages.</w:t>
        <w:br/>
        <w:t>Some languages are more prone to some kinds of faults because their specification does not require compilers to perform as much checking as other languages.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