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The source code of a program is written in one or more languages that are intelligible to programmers, rather than machine code, which is directly executed by the central processing unit.</w:t>
        <w:br/>
        <w:t>The choice of language used is subject to many considerations, such as company policy, suitability to task, availability of third-party packages, or individual preference.</w:t>
        <w:br/>
        <w:t>This is interpreted into machine code.</w:t>
        <w:br/>
        <w:t>Compiling takes the source code from a low-level programming language and converts it into machine code.</w:t>
        <w:br/>
        <w:t>Ideally, the programming language best suited for the task at hand will be selected.</w:t>
        <w:br/>
        <w:t>When debugging the problem in a GUI, the programmer can try to skip some user interaction from the original problem description and check if remaining actions are sufficient for bugs to appear.</w:t>
        <w:br/>
        <w:t>Provided the functions in a library follow the appropriate run-time conventions (e.g., method of passing arguments), then these functions may be written in any other language.</w:t>
        <w:br/>
        <w:t>However, because an assembly language is little more than a different notation for a machine language,  two machines with different instruction sets also have different assembly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Charles Babbage had already written his first program for the Analytical Engine in 1837.</w:t>
        <w:br/>
        <w:t>In 1801, the Jacquard loom could produce entirely different weaves by changing the "program" – a series of pasteboard cards with holes punched in them.</w:t>
        <w:br/>
        <w:t>There are many approaches to the Software development process.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