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The Unified Modeling Language (UML) is a notation used for both the OOAD and MDA.</w:t>
        <w:br/>
        <w:t>The choice of language used is subject to many considerations, such as company policy, suitability to task, availability of third-party packages, or individual preference.</w:t>
        <w:br/>
        <w:t>In the 9th century, the Arab mathematician Al-Kindi described a cryptographic algorithm for deciphering encrypted code, in A Manuscript on Deciphering Cryptographic Messages.</w:t>
        <w:br/>
        <w:t>When debugging the problem in a GUI, the programmer can try to skip some user interaction from the original problem description and check if remaining actions are sufficient for bugs to appear.</w:t>
        <w:br/>
        <w:t>Provided the functions in a library follow the appropriate run-time conventions (e.g., method of passing arguments), then these functions may be written in any other language.</w:t>
        <w:br/>
        <w:t>In the 9th century, the Arab mathematician Al-Kindi described a cryptographic algorithm for deciphering encrypted code, in A Manuscript on Deciphering Cryptographic Messages.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Unreadable code often leads to bugs, inefficiencies, and duplicated code.</w:t>
        <w:br/>
        <w:t>It affects the aspects of quality above, including portability, usability and most importantly maintainability.</w:t>
        <w:br/>
        <w:t>It is usually easier to code in "high-level" languages than in "low-level" ones.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Techniques like Code refactoring can enhance readability.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