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However, with the concept of the stored-program computer introduced in 1949, both programs and data were stored and manipulated in the same way in computer memory.</w:t>
        <w:br/>
        <w:t>When debugging the problem in a GUI, the programmer can try to skip some user interaction from the original problem description and check if remaining actions are sufficient for bugs to appear.</w:t>
        <w:br/>
        <w:t>The source code of a program is written in one or more languages that are intelligible to programmers, rather than machine code, which is directly executed by the central processing unit.</w:t>
        <w:br/>
        <w:t>For example, COBOL is still strong in corporate data centers often on large mainframe computers, Fortran in engineering applications, scripting languages in Web development, and C in embedded software.</w:t>
        <w:br/>
        <w:t>In the 9th century, the Arab mathematician Al-Kindi described a cryptographic algorithm for deciphering encrypted code, in A Manuscript on Deciphering Cryptographic Messages.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The Unified Modeling Language (UML) is a notation used for both the OOAD and MDA.</w:t>
        <w:br/>
        <w:t>Transpiling on the other hand, takes the source-code from a high-level programming language and converts it into bytecode.</w:t>
        <w:br/>
        <w:t>Ideally, the programming language best suited for the task at hand will be selected.</w:t>
        <w:br/>
        <w:t>One approach popular for requirements analysis is Use Case analysis.</w:t>
        <w:br/>
        <w:t xml:space="preserve"> Computer programmers are those who write computer software.</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