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Some text editors such as Emacs allow GDB to be invoked through them, to provide a visual environment.</w:t>
        <w:br/>
        <w:t>Relatedly, software engineering combines engineering techniques and principles with software development.</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This is interpreted into machine code.</w:t>
        <w:br/>
        <w:t xml:space="preserve"> In the 1880s, Herman Hollerith invented the concept of storing data in machine-readable form.</w:t>
        <w:br/>
        <w:t xml:space="preserve"> Some languages are very popular for particular kinds of applications, while some languages are regularly used to write many different kinds of applications.</w:t>
        <w:br/>
        <w:t>The source code of a program is written in one or more languages that are intelligible to programmers, rather than machine code, which is directly executed by the central processing unit.</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