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However, because an assembly language is little more than a different notation for a machine language,  two machines with different instruction sets also have different assembly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  <w:br/>
        <w:t>This can be a non-trivial task, for example as with parallel processes or some unusual software bugs.</w:t>
        <w:br/>
        <w:t>The source code of a program is written in one or more languages that are intelligible to programmers, rather than machine code, which is directly executed by the central processing unit.</w:t>
        <w:br/>
        <w:t>In 1801, the Jacquard loom could produce entirely different weaves by changing the "program" – a series of pasteboard cards with holes punched in them.</w:t>
        <w:br/>
        <w:t>Ideally, the programming language best suited for the task at hand will be selected.</w:t>
        <w:br/>
        <w:t>By the late 1960s, data storage devices and computer terminals became inexpensive enough that programs could be created by typing directly into the computers.</w:t>
        <w:br/>
        <w:t>Use of a static code analysis tool can help detect some possible problems.</w:t>
        <w:br/>
        <w:t>Techniques like Code refactoring can enhance readability.</w:t>
        <w:br/>
        <w:t>Also, specific user environment and usage history can make it difficult to reproduce the problem.</w:t>
        <w:br/>
        <w:t>Programming languages are essential for software development.</w:t>
        <w:br/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