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Integrated development environments (IDEs) aim to integrate all such help.</w:t>
        <w:br/>
        <w:t>One approach popular for requirements analysis is Use Case analysis.</w:t>
        <w:br/>
        <w:t>A study found that a few simple readability transformations made code shorter and drastically reduced the time to understand it.</w:t>
        <w:br/>
        <w:t>Ideally, the programming language best suited for the task at hand will be selected.</w:t>
        <w:br/>
        <w:t>Text editors were also developed that allowed changes and corrections to be made much more easily than with punched cards.</w:t>
        <w:br/>
        <w:t>This can be a non-trivial task, for example as with parallel processes or some unusual software bugs.</w:t>
        <w:br/>
        <w:t>Transpiling on the other hand, takes the source-code from a high-level programming language and converts it into bytecode.</w:t>
        <w:br/>
        <w:t>Assembly languages were soon developed that let the programmer specify instruction in a text format (e.g., ADD X, TOTAL), with abbreviations for each operation code and meaningful names for specifying addresses.</w:t>
        <w:br/>
        <w:t>The Unified Modeling Language (UML) is a notation used for both the OOAD and MDA.</w:t>
        <w:br/>
        <w:br/>
        <w:t xml:space="preserve"> Computer programming is the process of performing particular computations (or more generally, accomplishing specific computing results), usually by designing and building executable computer programs.</w:t>
        <w:br/>
        <w:t>Compilers harnessed the power of computers to make programming easier by allowing programmers to specify calculations by entering a formula using infix notation.</w:t>
        <w:br/>
        <w:t>The Unified Modeling Language (UML) is a notation used for both the OOAD and MDA.</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