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Trial-and-error/divide-and-conquer is needed: the programmer will try to remove some parts of the original test case and check if the problem still exists.</w:t>
        <w:br/>
        <w:t>Transpiling on the other hand, takes the source-code from a high-level programming language and converts it into bytecode.</w:t>
        <w:br/>
        <w:t>Some text editors such as Emacs allow GDB to be invoked through them, to provide a visual environment.</w:t>
        <w:b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Trade-offs from this ideal involve finding enough programmers who know the language to build a team, the availability of compilers for that language, and the efficiency with which programs written in a given language execute.</w:t>
        <w:br/>
        <w:t>There are many approaches to the Software development process.</w:t>
        <w:br/>
        <w:t xml:space="preserve"> Programs were mostly entered using punched cards or paper tape.</w:t>
        <w:b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Provided the functions in a library follow the appropriate run-time conventions (e.g., method of passing arguments), then these functions may be written in any other language.</w:t>
        <w:br/>
        <w:t>Many factors, having little or nothing to do with the ability of the computer to efficiently compile and execute the code, contribute to readability.</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