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Some languages are more prone to some kinds of faults because their specification does not require compilers to perform as much checking as other languages.</w:t>
        <w:br/>
        <w:t>Many factors, having little or nothing to do with the ability of the computer to efficiently compile and execute the code, contribute to readability.</w:t>
        <w:br/>
        <w:t>However, because an assembly language is little more than a different notation for a machine language,  two machines with different instruction sets also have different assembly languages.</w:t>
        <w:br/>
        <w:t>It is usually easier to code in "high-level" languages than in "low-level" ones.</w:t>
        <w:br/>
        <w:t>To produce machine code, the source code must either be compiled or transpiled.</w:t>
        <w:br/>
        <w:t>One approach popular for requirements analysis is Use Case analysis.</w:t>
        <w:br/>
        <w:t>Compiling takes the source code from a low-level programming language and converts it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When debugging the problem in a GUI, the programmer can try to skip some user interaction from the original problem description and check if remaining actions are sufficient for bugs to appear.</w:t>
        <w:br/>
        <w:t>The source code of a program is written in one or more languages that are intelligible to programmers, rather than machine code, which is directly executed by the central processing unit.</w:t>
        <w:br/>
        <w:t>He gave the first description of cryptanalysis by frequency analysis, the earliest code-breaking algorithm.</w:t>
        <w:br/>
        <w:t>Techniques like Code refactoring can enhance readability.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