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They are the building blocks for all software, from the simplest applications to the most sophisticated ones.</w:t>
        <w:br/>
        <w:t>However, readability is more than just programming style.</w:t>
        <w:br/>
        <w:t>Scripting and breakpointing is also part of this process.</w:t>
        <w:br/>
        <w:t>However, with the concept of the stored-program computer introduced in 1949, both programs and data were stored and manipulated in the same way in computer memory.</w:t>
        <w:br/>
        <w:t>This can be a non-trivial task, for example as with parallel processes or some unusual software bugs.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languages are more prone to some kinds of faults because their specification does not require compilers to perform as much checking as other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1206, the Arab engineer Al-Jazari invented a programmable drum machine where a musical mechanical automaton could be made to play different rhythms and drum patterns, via pegs and cams.</w:t>
        <w:br/>
        <w:t>There are many approaches to the Software development process.</w:t>
        <w:br/>
        <w:t>Unreadable code often leads to bugs, inefficiencies, and duplicated code.</w:t>
        <w:br/>
        <w:t xml:space="preserve"> Code-breaking algorithms have also existed for centuries.</w:t>
        <w:br/>
        <w:t>For this purpose, algorithms are classified into orders using so-called Big O notation, which expresses resource use, such as execution time or memory consumption, in terms of the size of an input.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