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By the late 1960s, data storage devices and computer terminals became inexpensive enough that programs could be created by typing directly into the computers.</w:t>
        <w:br/>
        <w:t>Normally the first step in debugging is to attempt to reproduce the problem.</w:t>
        <w:br/>
        <w:t>Some languages are more prone to some kinds of faults because their specification does not require compilers to perform as much checking as other languages.</w:t>
        <w:br/>
        <w:t>In 1801, the Jacquard loom could produce entirely different weaves by changing the "program" – a series of pasteboard cards with holes punched in them.</w:t>
        <w:br/>
        <w:t>Integrated development environments (IDEs) aim to integrate all such help.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Popular modeling techniques include Object-Oriented Analysis and Design (OOAD) and Model-Driven Architecture (MDA).</w:t>
        <w:br/>
        <w:t>Text editors were also developed that allowed changes and corrections to be made much more easily than with punched cards.</w:t>
        <w:br/>
        <w:t xml:space="preserve"> It is very difficult to determine what are the most popular modern programming languages.</w:t>
        <w:br/>
        <w:t xml:space="preserve"> In the 1880s, Herman Hollerith invented the concept of storing data in machine-readable form.</w:t>
        <w:br/>
        <w:t>Provided the functions in a library follow the appropriate run-time conventions (e.g., method of passing arguments), then these functions may be written in any other language.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