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Provided the functions in a library follow the appropriate run-time conventions (e.g., method of passing arguments), then these functions may be written in any other language.</w:t>
        <w:br/>
        <w:t>In the 9th century, the Arab mathematician Al-Kindi described a cryptographic algorithm for deciphering encrypted code, in A Manuscript on Deciphering Cryptographic Messages.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Expert programmers are familiar with a variety of well-established algorithms and their respective complexities and use this knowledge to choose algorithms that are best suited to the circumstances.</w:t>
        <w:br/>
        <w:t>Relatedly, software engineering combines engineering techniques and principles with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text editors such as Emacs allow GDB to be invoked through them, to provide a visual environment.</w:t>
        <w:br/>
        <w:t>The source code of a program is written in one or more languages that are intelligible to programmers, rather than machine code, which is directly executed by the central processing unit.</w:t>
        <w:br/>
        <w:t>This is interpreted into machine code.</w:t>
        <w:br/>
        <w:t xml:space="preserve"> Programs were mostly entered using punched cards or paper tape.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It affects the aspects of quality above, including portability, usability and most importantly maintainability.</w:t>
        <w:br/>
        <w:t>Trial-and-error/divide-and-conquer is needed: the programmer will try to remove some parts of the original test case and check if the problem still exists.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