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A study found that a few simple readability transformations made code shorter and drastically reduced the time to understand it.</w:t>
        <w:br/>
        <w:t>Provided the functions in a library follow the appropriate run-time conventions (e.g., method of passing arguments), then these functions may be written in any other language.</w:t>
        <w:br/>
        <w:t>This can be a non-trivial task, for example as with parallel processes or some unusual software bugs.</w:t>
        <w:br/>
        <w:t>FORTRAN, the first widely used high-level language to have a functional implementation, came out in 1957, and many other languages were soon developed—in particular, COBOL aimed at commercial data processing, and Lisp for computer research.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There are many approaches to the Software development process.</w:t>
        <w:br/>
        <w:t>Integrated development environments (IDEs) aim to integrate all such help.</w:t>
        <w:br/>
        <w:t>FORTRAN, the first widely used high-level language to have a functional implementation, came out in 1957, and many other languages were soon developed—in particular, COBOL aimed at commercial data processing, and Lisp for computer research.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Proficient programming thus usually requires expertise in several different subjects, including knowledge of the application domain, specialized algorithms, and formal logic.</w:t>
        <w:br/>
        <w:t>This is interpreted into machine code.</w:t>
        <w:br/>
        <w:t xml:space="preserve"> The academic field and the engineering practice of computer programming are both largely concerned with discovering and implementing the most efficient algorithms for a given class of problems.</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