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Also, specific user environment and usage history can make it difficult to reproduce the problem.</w:t>
        <w:br/>
        <w:t>He gave the first description of cryptanalysis by frequency analysis, the earliest code-breaking algorithm.</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exist a lot of different approaches for each of those tasks.</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Compilers harnessed the power of computers to make programming easier by allowing programmers to specify calculations by entering a formula using infix notation.</w:t>
        <w:br/>
        <w:t>However, with the concept of the stored-program computer introduced in 1949, both programs and data were stored and manipulated in the same way in computer memory.</w:t>
        <w:br/>
        <w:t>They are the building blocks for all software, from the simplest applications to the most sophisticated ones.</w:t>
        <w:br/>
        <w:t>For this purpose, algorithms are classified into orders using so-called Big O notation, which expresses resource use, such as execution time or memory consumption, in terms of the size of an input.</w:t>
        <w:br/>
        <w:t xml:space="preserve"> Debugging is a very important task in the software development process since having defects in a program can have significant consequences for its users.</w:t>
        <w:br/>
        <w:t>Some of these factors include:</w:t>
        <w:br/>
        <w:t xml:space="preserve"> The presentation aspects of this (such as indents, line breaks, color highlighting, and so on) are often handled by the source code editor, but the content aspects reflect the programmer's talent and skills.</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