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Proficient programming thus usually requires expertise in several different subjects, including knowledge of the application domain, specialized algorithms, and formal logic.</w:t>
        <w:br/>
        <w:t>Scripting and breakpointing is also part of this process.</w:t>
        <w:br/>
        <w:t>Text editors were also developed that allowed changes and corrections to be made much more easily than with punched cards.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choice of language used is subject to many considerations, such as company policy, suitability to task, availability of third-party packages, or individual preference.</w:t>
        <w:br/>
        <w:t>However, readability is more than just programming style.</w:t>
        <w:br/>
        <w:t>Expert programmers are familiar with a variety of well-established algorithms and their respective complexities and use this knowledge to choose algorithms that are best suited to the circumstances.</w:t>
        <w:br/>
        <w:t>To produce machine code, the source code must either be compiled or transpiled.</w:t>
        <w:br/>
        <w:t>As early as the 9th century, a programmable music sequencer was invented by the Persian Banu Musa brothers, who described an automated mechanical flute player in the Book of Ingenious Devices.</w:t>
        <w:br/>
        <w:t>However, Charles Babbage had already written his first program for the Analytical Engine in 1837.</w:t>
        <w:br/>
        <w:t>Integrated development environments (IDEs) aim to integrate all such help.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