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Provided the functions in a library follow the appropriate run-time conventions (e.g., method of passing arguments), then these functions may be written in any other language.</w:t>
        <w:br/>
        <w:t>To produce machine code, the source code must either be compiled or transpiled.</w:t>
        <w:br/>
        <w:t>Compilers harnessed the power of computers to make programming easier by allowing programmers to specify calculations by entering a formula using infix notation.</w:t>
        <w:br/>
        <w:t>As early as the 9th century, a programmable music sequencer was invented by the Persian Banu Musa brothers, who described an automated mechanical flute player in the Book of Ingenious Devices.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Compilers harnessed the power of computers to make programming easier by allowing programmers to specify calculations by entering a formula using infix notation.</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with the concept of the stored-program computer introduced in 1949, both programs and data were stored and manipulated in the same way in computer memory.</w:t>
        <w:br/>
        <w:t>Expert programmers are familiar with a variety of well-established algorithms and their respective complexities and use this knowledge to choose algorithms that are best suited to the circumstances.</w:t>
        <w:br/>
        <w:t>Compilers harnessed the power of computers to make programming easier by allowing programmers to specify calculations by entering a formula using infix notation.</w:t>
        <w:br/>
        <w:t>Proficient programming thus usually requires expertise in several different subjects, including knowledge of the application domain, specialized algorithms, and formal logic.</w:t>
        <w:br/>
        <w:t>Ideally, the programming language best suited for the task at hand will be selected.</w:t>
        <w:br/>
        <w:t>However, with the concept of the stored-program computer introduced in 1949, both programs and data were stored and manipulated in the same way in computer memory.</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