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In the 9th century, the Arab mathematician Al-Kindi described a cryptographic algorithm for deciphering encrypted code, in A Manuscript on Deciphering Cryptographic Messages.</w:t>
        <w:br/>
        <w:t>Compiling takes the source code from a low-level programming language and converts it into machine code.</w:t>
        <w:br/>
        <w:t>However, with the concept of the stored-program computer introduced in 1949, both programs and data were stored and manipulated in the same way in computer memory.</w:t>
        <w:br/>
        <w:t>Assembly languages were soon developed that let the programmer specify instruction in a text format (e.g., ADD X, TOTAL), with abbreviations for each operation code and meaningful names for specifying addresses.</w:t>
        <w:br/>
        <w:t>This is interpreted into machine code.</w:t>
        <w:br/>
        <w:t>It is usually easier to code in "high-level" languages than in "low-level"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because an assembly language is little more than a different notation for a machine language,  two machines with different instruction sets also have different assembly languages.</w:t>
        <w:br/>
        <w:t>There exist a lot of different approaches for each of those tasks.</w:t>
        <w:br/>
        <w:t>Programming languages are essential for software development.</w:t>
        <w:br/>
        <w:t>However, with the concept of the stored-program computer introduced in 1949, both programs and data were stored and manipulated in the same way in computer memory.</w:t>
        <w:br/>
        <w:t>A study found that a few simple readability transformations made code shorter and drastically reduced the time to understand it.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