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languages are more prone to some kinds of faults because their specification does not require compilers to perform as much checking as other languages.</w:t>
        <w:br/>
        <w:t>Expert programmers are familiar with a variety of well-established algorithms and their respective complexities and use this knowledge to choose algorithms that are best suited to the circumstances.</w:t>
        <w:br/>
        <w:t>The Unified Modeling Language (UML) is a notation used for both the OOAD and MDA.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To produce machine code, the source code must either be compiled or transpiled.</w:t>
        <w:br/>
        <w:t>The Unified Modeling Language (UML) is a notation used for both the OOAD and MDA.</w:t>
        <w:br/>
        <w:t>However, because an assembly language is little more than a different notation for a machine language,  two machines with different instruction sets also have different assembly languages.</w:t>
        <w:br/>
        <w:t>A study found that a few simple readability transformations made code shorter and drastically reduced the time to understand it.</w:t>
        <w:br/>
        <w:t>To produce machine code, the source code must either be compiled or transpiled.</w:t>
        <w:br/>
        <w:t>Programming languages are essential for software development.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The source code of a program is written in one or more languages that are intelligible to programmers, rather than machine code, which is directly executed by the central processing unit.</w:t>
        <w:br/>
        <w:t xml:space="preserve"> Popular modeling techniques include Object-Oriented Analysis and Design (OOAD) and Model-Driven Architecture (MDA).</w:t>
        <w:br/>
        <w:t xml:space="preserve"> Some languages are very popular for particular kinds of applications, while some languages are regularly used to write many different kinds of applications.</w:t>
        <w:br/>
        <w:t>This can be a non-trivial task, for example as with parallel processes or some unusual software bugs.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