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Many factors, having little or nothing to do with the ability of the computer to efficiently compile and execute the code, contribute to readability.</w:t>
        <w:br/>
        <w:t>Some languages are more prone to some kinds of faults because their specification does not require compilers to perform as much checking as other languages.</w:t>
        <w:br/>
        <w:t>When debugging the problem in a GUI, the programmer can try to skip some user interaction from the original problem description and check if remaining actions are sufficient for bugs to appear.</w:t>
        <w:br/>
        <w:t>There are many approaches to the Software development process.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This is interpreted into machine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As early as the 9th century, a programmable music sequencer was invented by the Persian Banu Musa brothers, who described an automated mechanical flute player in the Book of Ingenious Devices.</w:t>
        <w:br/>
        <w:t>Compiling takes the source code from a low-level programming language and converts it into machine code.</w:t>
        <w:br/>
        <w:t xml:space="preserve"> Programmable devices have existed for centuries.</w:t>
        <w:br/>
        <w:t>In the 9th century, the Arab mathematician Al-Kindi described a cryptographic algorithm for deciphering encrypted code, in A Manuscript on Deciphering Cryptographic Messages.</w:t>
        <w:br/>
        <w:t>Relatedly, software engineering combines engineering techniques and principles with software development.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