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Scripting and breakpointing is also part of this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Provided the functions in a library follow the appropriate run-time conventions (e.g., method of passing arguments), then these functions may be written in any other language.</w:t>
        <w:br/>
        <w:t>There exist a lot of different approaches for each of those tasks.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choice of language used is subject to many considerations, such as company policy, suitability to task, availability of third-party packages, or individual preference.</w:t>
        <w:br/>
        <w:t>This is interpreted into machine code.</w:t>
        <w:br/>
        <w:t>Assembly languages were soon developed that let the programmer specify instruction in a text format (e.g., ADD X, TOTAL), with abbreviations for each operation code and meaningful names for specifying addresses.</w:t>
        <w:br/>
        <w:t>However, with the concept of the stored-program computer introduced in 1949, both programs and data were stored and manipulated in the same way in computer memory.</w:t>
        <w:br/>
        <w:t>However, with the concept of the stored-program computer introduced in 1949, both programs and data were stored and manipulated in the same way in computer memory.</w:t>
        <w:br/>
        <w:t>Ideally, the programming language best suited for the task at hand will be selected.</w:t>
        <w:br/>
        <w:t xml:space="preserve"> The first computer program is generally dated to 1843, when mathematician Ada Lovelace published an algorithm to calculate a sequence of Bernoulli numbers, intended to be carried out by Charles Babbage's Analytical Engine.</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