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Transpiling on the other hand, takes the source-code from a high-level programming language and converts it into bytecode.</w:t>
        <w:br/>
        <w:t>Unreadable code often leads to bugs, inefficiencies, and duplicated code.</w:t>
        <w:br/>
        <w:t>There exist a lot of different approaches for each of those tasks.</w:t>
        <w:br/>
        <w:t>To produce machine code, the source code must either be compiled or transpiled.</w:t>
        <w:br/>
        <w:t>However, because an assembly language is little more than a different notation for a machine language,  two machines with different instruction sets also have different assembly languages.</w:t>
        <w:br/>
        <w:t>One approach popular for requirements analysis is Use Case analysis.</w:t>
        <w:br/>
        <w:t>Techniques like Code refactoring can enhance readability.</w:t>
        <w:br/>
        <w:t>Compilers harnessed the power of computers to make programming easier by allowing programmers to specify calculations by entering a formula using infix notation.</w:t>
        <w:br/>
        <w:t xml:space="preserve"> High-level languages made the process of developing a program simpler and more understandable, and less bound to the underlying hardware.</w:t>
        <w:br/>
        <w:t xml:space="preserve"> Popular modeling techniques include Object-Oriented Analysis and Design (OOAD) and Model-Driven Architecture (MDA).</w:t>
        <w:br/>
        <w:t>They are the building blocks for all software, from the simplest applications to the most sophisticated ones.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