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Ideally, the programming language best suited for the task at hand will be selected.</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However, readability is more than just programming style.</w:t>
        <w:br/>
        <w:t>This can be a non-trivial task, for example as with parallel processes or some unusual software bugs.</w:t>
        <w:br/>
        <w:t xml:space="preserve"> Following a consistent programming style often helps readability.</w:t>
        <w:br/>
        <w:t>Many factors, having little or nothing to do with the ability of the computer to efficiently compile and execute the code, contribute to readability.</w:t>
        <w:br/>
        <w:t xml:space="preserve"> Whatever the approach to development may be, the final program must satisfy some fundamental properties.</w:t>
        <w:br/>
        <w:t>The choice of language used is subject to many considerations, such as company policy, suitability to task, availability of third-party packages, or individual preference.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