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Provided the functions in a library follow the appropriate run-time conventions (e.g., method of passing arguments), then these functions may be written in any other language.</w:t>
        <w:br/>
        <w:t>There exist a lot of different approaches for each of those tasks.</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This can be a non-trivial task, for example as with parallel processes or some unusual software bugs.</w:t>
        <w:br/>
        <w:t>In 1801, the Jacquard loom could produce entirely different weaves by changing the "program" – a series of pasteboard cards with holes punched in them.</w:t>
        <w:br/>
        <w:t>Also, specific user environment and usage history can make it difficult to reproduce the problem.</w:t>
        <w:br/>
        <w:t>They are the building blocks for all software, from the simplest applications to the most sophisticated ones.</w:t>
        <w:br/>
        <w:t>It is usually easier to code in "high-level" languages than in "low-level" ones.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