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For this purpose, algorithms are classified into orders using so-called Big O notation, which expresses resource use, such as execution time or memory consumption, in terms of the size of an input.</w:t>
        <w:br/>
        <w:t>However, because an assembly language is little more than a different notation for a machine language,  two machines with different instruction sets also have different assembly languages.</w:t>
        <w:br/>
        <w:t>Compiling takes the source code from a low-level programming language and converts it into machine code.</w:t>
        <w:br/>
        <w:t>Programming languages are essential for software development.</w:t>
        <w:br/>
        <w:t>Also, specific user environment and usage history can make it difficult to reproduce the problem.</w:t>
        <w:br/>
        <w:t>Compiling takes the source code from a low-level programming language and converts it into machine code.</w:t>
        <w:br/>
        <w:t>However, because an assembly language is little more than a different notation for a machine language,  two machines with different instruction sets also have different assembly languages.</w:t>
        <w:br/>
        <w:t>The source code of a program is written in one or more languages that are intelligible to programmers, rather than machine code, which is directly executed by the central processing unit.</w:t>
        <w:br/>
        <w:t>For example, COBOL is still strong in corporate data centers often on large mainframe computers, Fortran in engineering applications, scripting languages in Web development, and C in embedded software.</w:t>
        <w:br/>
        <w:t>A study found that a few simple readability transformations made code shorter and drastically reduced the time to understand it.</w:t>
        <w:br/>
        <w:t>The Unified Modeling Language (UML) is a notation used for both the OOAD and MDA.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Charles Babbage had already written his first program for the Analytical Engine in 1837.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