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Ideally, the programming language best suited for the task at hand will be selected.</w:t>
        <w:br/>
        <w:t>However, because an assembly language is little more than a different notation for a machine language,  two machines with different instruction sets also have different assembly languages.</w:t>
        <w:br/>
        <w:t>Compilers harnessed the power of computers to make programming easier by allowing programmers to specify calculations by entering a formula using infix notation.</w:t>
        <w:br/>
        <w:t>Many factors, having little or nothing to do with the ability of the computer to efficiently compile and execute the code, contribute to readability.</w:t>
        <w:br/>
        <w:t>Transpiling on the other hand, takes the source-code from a high-level programming language and converts it into bytecode.</w:t>
        <w:br/>
        <w:t>Proficient programming thus usually requires expertise in several different subjects, including knowledge of the application domain, specialized algorithms, and formal logic.</w:t>
        <w:b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To produce machine code, the source code must either be compiled or transpiled.</w:t>
        <w:br/>
        <w:t>Some text editors such as Emacs allow GDB to be invoked through them, to provide a visual environment.</w:t>
        <w:br/>
        <w:t>Normally the first step in debugging is to attempt to reproduce the problem.</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