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Many applications use a mix of several languages in their construction and use.</w:t>
        <w:br/>
        <w:t>Techniques like Code refactoring can enhance readability.</w:t>
        <w:br/>
        <w:t>Normally the first step in debugging is to attempt to reproduce the problem.</w:t>
        <w:br/>
        <w:t>However, readability is more than just programming style.</w:t>
        <w:br/>
        <w:t>However, because an assembly language is little more than a different notation for a machine language,  two machines with different instruction sets also have different assembly languages.</w:t>
        <w:br/>
        <w:t>One approach popular for requirements analysis is Use Case analysis.</w:t>
        <w:br/>
        <w:t>Many programmers use forms of Agile software development where the various stages of formal software development are more integrated together into short cycles that take a few weeks rather than years.</w:t>
        <w:br/>
        <w:t>To produce machine code, the source code must either be compiled or transpiled.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with the concept of the stored-program computer introduced in 1949, both programs and data were stored and manipulated in the same way in computer memory.</w:t>
        <w:br/>
        <w:t>In 1206, the Arab engineer Al-Jazari invented a programmable drum machine where a musical mechanical automaton could be made to play different rhythms and drum patterns, via pegs and cams.</w:t>
        <w:br/>
        <w:t>Also, specific user environment and usage history can make it difficult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