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Trade-offs from this ideal involve finding enough programmers who know the language to build a team, the availability of compilers for that language, and the efficiency with which programs written in a given language execute.</w:t>
        <w:br/>
        <w:t>Expert programmers are familiar with a variety of well-established algorithms and their respective complexities and use this knowledge to choose algorithms that are best suited to the circumstances.</w:t>
        <w:br/>
        <w:t>Compilers harnessed the power of computers to make programming easier by allowing programmers to specify calculations by entering a formula using infix notation.</w:t>
        <w:br/>
        <w:t>A study found that a few simple readability transformations made code shorter and drastically reduced the time to understand it.</w:t>
        <w:br/>
        <w:t>Trial-and-error/divide-and-conquer is needed: the programmer will try to remove some parts of the original test case and check if the problem still exists.</w:t>
        <w:br/>
        <w:t>Languages form an approximate spectrum from "low-level" to "high-level"; "low-level" languages are typically more machine-oriented and faster to execute, whereas "high-level" languages are more abstract and easier to use but execute less quickly.</w:t>
        <w:br/>
        <w:t>To produce machine code, the source code must either be compiled or transpiled.</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br/>
        <w:t>The first compiler related tool, the A-0 System, was developed in 1952 by Grace Hopper, who also coined the term 'compiler'.</w:t>
        <w:br/>
        <w:t>Relatedly, software engineering combines engineering techniques and principles with software development.</w:t>
        <w:br/>
        <w:t xml:space="preserve"> The first step in most formal software development processes is requirements analysis, followed by testing to determine value modeling, implementation, and failure elimination (debugging).</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