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Transpiling on the other hand, takes the source-code from a high-level programming language and converts it into bytecode.</w:t>
        <w:br/>
        <w:t>This can be a non-trivial task, for example as with parallel processes or some unusual software bugs.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Integrated development environments (IDEs) aim to integrate all such help.</w:t>
        <w:br/>
        <w:t>In 1206, the Arab engineer Al-Jazari invented a programmable drum machine where a musical mechanical automaton could be made to play different rhythms and drum patterns, via pegs and cams.</w:t>
        <w:br/>
        <w:t>The choice of language used is subject to many considerations, such as company policy, suitability to task, availability of third-party packages, or individual preference.</w:t>
        <w:br/>
        <w:t>However, readability is more than just programming style.</w:t>
        <w:br/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applications use a mix of several languages in their construction and use.</w:t>
        <w:br/>
        <w:t xml:space="preserve"> A similar technique used for database design is Entity-Relationship Modeling (ER Modeling).</w:t>
        <w:br/>
        <w:t>When debugging the problem in a GUI, the programmer can try to skip some user interaction from the original problem description and check if remaining actions are sufficient for bugs to appear.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