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Relatedly, software engineering combines engineering techniques and principles with software development.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To produce machine code, the source code must either be compiled or transpiled.</w:t>
        <w:br/>
        <w:t>However, Charles Babbage had already written his first program for the Analytical Engine in 1837.</w:t>
        <w:br/>
        <w:t>Provided the functions in a library follow the appropriate run-time conventions (e.g., method of passing arguments), then these functions may be written in any other language.</w:t>
        <w:br/>
        <w:t>When debugging the problem in a GUI, the programmer can try to skip some user interaction from the original problem description and check if remaining actions are sufficient for bugs to appear.</w:t>
        <w:br/>
        <w:t>Languages form an approximate spectrum from "low-level" to "high-level"; "low-level" languages are typically more machine-oriented and faster to execute, whereas "high-level" languages are more abstract and easier to use but execute less quickly.</w:t>
        <w:br/>
        <w:t>Unreadable code often leads to bugs, inefficiencies, and duplicated code.</w:t>
        <w:br/>
        <w:t>It is usually easier to code in "high-level" languages than in "low-level" ones.</w:t>
        <w:br/>
        <w:t>Text editors were also developed that allowed changes and corrections to be made much more easily than with punched cards.</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Also, specific user environment and usage history can make it difficult to reproduce the problem.</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