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It affects the aspects of quality above, including portability, usability and most importantly maintainability.</w:t>
        <w:br/>
        <w:t>Proficient programming thus usually requires expertise in several different subjects, including knowledge of the application domain, specialized algorithms, and formal logic.</w:t>
        <w:br/>
        <w:t>In 1801, the Jacquard loom could produce entirely different weaves by changing the "program" – a series of pasteboard cards with holes punched in them.</w:t>
        <w:br/>
        <w:t>In 1801, the Jacquard loom could produce entirely different weaves by changing the "program" – a series of pasteboard cards with holes punched in them.</w:t>
        <w:br/>
        <w:t>However, Charles Babbage had already written his first program for the Analytical Engine in 1837.</w:t>
        <w:br/>
        <w:t>However, because an assembly language is little more than a different notation for a machine language,  two machines with different instruction sets also have different assembly languages.</w:t>
        <w:br/>
        <w:t>However, with the concept of the stored-program computer introduced in 1949, both programs and data were stored and manipulated in the same way in computer memory.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Also, specific user environment and usage history can make it difficult to reproduce the problem.</w:t>
        <w:br/>
        <w:t>For example, COBOL is still strong in corporate data centers often on large mainframe computers, Fortran in engineering applications, scripting languages in Web development, and C in embedded software.</w:t>
        <w:br/>
        <w:t>Programming involves tasks such as analysis, generating algorithms, profiling algorithms' accuracy and resource consumption, and the implementation of algorithms (usually in a particular programming language, commonly referred to as coding).</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